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7D33D636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</w:t>
      </w:r>
      <w:r w:rsidR="005A5791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7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.2018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8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218F4164" w14:textId="51B38FAF" w:rsidR="00647BC1" w:rsidRPr="00CC5E8A" w:rsidRDefault="00647BC1" w:rsidP="00AB3B8F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3384D16A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5A5791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szybkowiążącego, samopoziomującego podkładu podłogowego ATLAS SAM 100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3A88D5F7" w14:textId="1ACEAD17" w:rsidR="00F80BD6" w:rsidRPr="00AB3B8F" w:rsidRDefault="00F80BD6" w:rsidP="00AB3B8F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2F878DB3" w14:textId="5313B5B9" w:rsidR="00F80BD6" w:rsidRDefault="00F80BD6" w:rsidP="00AB3B8F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362F540C" w14:textId="77777777" w:rsidR="00AB3B8F" w:rsidRPr="00CC5E8A" w:rsidRDefault="00AB3B8F" w:rsidP="00AB3B8F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845A389" w14:textId="6A0A6734" w:rsidR="00726F86" w:rsidRDefault="001872D5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jest dostawa następującego asortymentu do klejenia wykładzin PCV:</w:t>
      </w:r>
    </w:p>
    <w:p w14:paraId="1FAF271F" w14:textId="3AFD4BA4" w:rsidR="005A5791" w:rsidRPr="005A5791" w:rsidRDefault="005A5791" w:rsidP="005A5791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ATLAS SAM 100 25kg/worek – 40 szt.</w:t>
      </w:r>
    </w:p>
    <w:p w14:paraId="6CE2B107" w14:textId="3A22A8CA" w:rsidR="00194332" w:rsidRPr="00AB3B8F" w:rsidRDefault="00F80BD6" w:rsidP="00AB3B8F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78548A3B" w14:textId="7069FD3E" w:rsidR="00F80BD6" w:rsidRPr="00CC5E8A" w:rsidRDefault="00AB3B8F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7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3DF3B626" w14:textId="77777777" w:rsidR="00AB3B8F" w:rsidRPr="00AB3B8F" w:rsidRDefault="00F80BD6" w:rsidP="00AB3B8F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1A91BB6A" w14:textId="15F8D10D" w:rsidR="00F80BD6" w:rsidRDefault="0042003B" w:rsidP="00AB3B8F">
      <w:pPr>
        <w:pStyle w:val="Akapitzlist"/>
        <w:widowControl w:val="0"/>
        <w:suppressAutoHyphens/>
        <w:spacing w:after="198" w:line="100" w:lineRule="atLeast"/>
        <w:ind w:left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0578AF13" w14:textId="77777777" w:rsidR="00AB3B8F" w:rsidRPr="00CC5E8A" w:rsidRDefault="00AB3B8F" w:rsidP="00AB3B8F">
      <w:pPr>
        <w:pStyle w:val="Akapitzlist"/>
        <w:widowControl w:val="0"/>
        <w:suppressAutoHyphens/>
        <w:spacing w:after="198" w:line="100" w:lineRule="atLeast"/>
        <w:ind w:left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73DCD9B5" w14:textId="49B85259" w:rsidR="00AB3B8F" w:rsidRPr="005A5791" w:rsidRDefault="00D703F4" w:rsidP="005A5791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3C1B09F7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6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11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.2018 roku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do godz. 14.00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lastRenderedPageBreak/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06CAB89E" w14:textId="181CB28A" w:rsidR="005A5791" w:rsidRDefault="00EE1CB0" w:rsidP="005A5791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  <w:r w:rsidR="0042003B">
        <w:br/>
      </w:r>
      <w:r>
        <w:t>Tomasz Tadrała (48-22) 69 20</w:t>
      </w:r>
      <w:r w:rsidR="005A5791">
        <w:t> </w:t>
      </w:r>
      <w:r w:rsidR="002549BB">
        <w:t>510</w:t>
      </w:r>
      <w:r w:rsidR="005A5791">
        <w:br/>
        <w:t xml:space="preserve">Mirosław Kacprzak </w:t>
      </w:r>
      <w:r w:rsidR="005A5791">
        <w:t>(48-22) 69 20 </w:t>
      </w:r>
      <w:r w:rsidR="005A5791">
        <w:t>209</w:t>
      </w:r>
    </w:p>
    <w:p w14:paraId="0EC7A9A3" w14:textId="56AB5AE4" w:rsidR="00F80BD6" w:rsidRPr="00CC5E8A" w:rsidRDefault="00F80BD6" w:rsidP="005A5791">
      <w:pPr>
        <w:tabs>
          <w:tab w:val="left" w:pos="6096"/>
        </w:tabs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EEE4C89" w14:textId="593E9A55" w:rsidR="00F80BD6" w:rsidRPr="00CC5E8A" w:rsidRDefault="00F80BD6" w:rsidP="00AB3B8F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76FB09BE" w14:textId="52DB42D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</w:t>
      </w:r>
      <w:r w:rsidR="00AB3B8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5B8136A2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 2.11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.2018 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21A3E133" w:rsidR="00194332" w:rsidRDefault="005A5791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bookmarkStart w:id="2" w:name="_GoBack"/>
      <w:bookmarkEnd w:id="2"/>
      <w:r w:rsidR="00B419E9" w:rsidRPr="00B419E9">
        <w:rPr>
          <w:rFonts w:asciiTheme="minorHAnsi" w:hAnsiTheme="minorHAnsi" w:cstheme="minorHAnsi"/>
          <w:b/>
          <w:sz w:val="24"/>
          <w:szCs w:val="24"/>
        </w:rPr>
        <w:t xml:space="preserve">ostawie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szybkowiążącego, samopoziomującego podkładu podłogowego ATLAS SAM 100</w:t>
      </w:r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7899E5B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5AB2B3D5" w:rsidR="000C0866" w:rsidRPr="00CC5E8A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3D6A6732" w:rsidR="00A730EC" w:rsidRPr="00B419E9" w:rsidRDefault="00B419E9" w:rsidP="00B419E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p w14:paraId="7CBD0E84" w14:textId="1588D545" w:rsidR="00915B41" w:rsidRDefault="00915B4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820"/>
        <w:gridCol w:w="1280"/>
        <w:gridCol w:w="1660"/>
      </w:tblGrid>
      <w:tr w:rsidR="007170D0" w:rsidRPr="007170D0" w14:paraId="61545055" w14:textId="77777777" w:rsidTr="007170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1C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2E5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Cenna netto szt.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3FE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4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netto</w:t>
            </w:r>
          </w:p>
        </w:tc>
      </w:tr>
      <w:tr w:rsidR="007170D0" w:rsidRPr="007170D0" w14:paraId="7F01AA62" w14:textId="77777777" w:rsidTr="001F6C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69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28B0" w14:textId="0C27947E" w:rsidR="007170D0" w:rsidRPr="007170D0" w:rsidRDefault="005A5791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ATLAS SAM 100 – 25 kg/worek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B2E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C59" w14:textId="7820CA27" w:rsidR="007170D0" w:rsidRPr="007170D0" w:rsidRDefault="005A5791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6E4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41E86C6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AA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67F" w14:textId="77777777" w:rsidR="007170D0" w:rsidRPr="007170D0" w:rsidRDefault="007170D0" w:rsidP="007170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16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043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9D7A5DA" w14:textId="6B530831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6B6E1D3C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A64741D" w14:textId="7AC77D55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02F5F" w14:textId="37C63557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F91EAD" w14:textId="751AA50B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A3A7ACE" w14:textId="5085E237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B44265B" w14:textId="40804AC0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4C06B7D" w14:textId="34E855AE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02BC1B0" w14:textId="39B24FBC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8A9AE20" w14:textId="7089B865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E73F26D" w14:textId="712823A0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BEB9DD9" w14:textId="091356E4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5F92020" w14:textId="0152476B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C8A748A" w14:textId="77777777" w:rsidR="005A5791" w:rsidRDefault="005A579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3A639" w14:textId="77777777" w:rsidR="00647FD5" w:rsidRDefault="00647FD5">
      <w:pPr>
        <w:spacing w:after="0" w:line="240" w:lineRule="auto"/>
      </w:pPr>
      <w:r>
        <w:separator/>
      </w:r>
    </w:p>
  </w:endnote>
  <w:endnote w:type="continuationSeparator" w:id="0">
    <w:p w14:paraId="2EC4F742" w14:textId="77777777" w:rsidR="00647FD5" w:rsidRDefault="0064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FB95" w14:textId="77777777" w:rsidR="00647FD5" w:rsidRDefault="00647FD5">
      <w:pPr>
        <w:spacing w:after="0" w:line="240" w:lineRule="auto"/>
      </w:pPr>
      <w:r>
        <w:separator/>
      </w:r>
    </w:p>
  </w:footnote>
  <w:footnote w:type="continuationSeparator" w:id="0">
    <w:p w14:paraId="3150F4E3" w14:textId="77777777" w:rsidR="00647FD5" w:rsidRDefault="0064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6C00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31197B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95AB5"/>
    <w:rsid w:val="005A5791"/>
    <w:rsid w:val="005C1C15"/>
    <w:rsid w:val="005E0E74"/>
    <w:rsid w:val="005E28E5"/>
    <w:rsid w:val="006173A3"/>
    <w:rsid w:val="0063711B"/>
    <w:rsid w:val="00647BC1"/>
    <w:rsid w:val="00647FD5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76A13"/>
    <w:rsid w:val="00981AAE"/>
    <w:rsid w:val="00982BC1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B3B8F"/>
    <w:rsid w:val="00AD10E2"/>
    <w:rsid w:val="00AE519F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6C5"/>
    <w:rsid w:val="00C66AED"/>
    <w:rsid w:val="00C97EEE"/>
    <w:rsid w:val="00CC5E8A"/>
    <w:rsid w:val="00CD0BFC"/>
    <w:rsid w:val="00CD58F3"/>
    <w:rsid w:val="00D17DD2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2</cp:revision>
  <cp:lastPrinted>2018-11-02T08:58:00Z</cp:lastPrinted>
  <dcterms:created xsi:type="dcterms:W3CDTF">2018-11-02T10:31:00Z</dcterms:created>
  <dcterms:modified xsi:type="dcterms:W3CDTF">2018-11-02T10:31:00Z</dcterms:modified>
</cp:coreProperties>
</file>