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330B3126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7170D0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.1</w:t>
      </w:r>
      <w:r w:rsidR="00D54AA9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6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.20</w:t>
      </w:r>
      <w:r w:rsidR="00F11261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FF40BD">
        <w:rPr>
          <w:rFonts w:asciiTheme="minorHAnsi" w:hAnsiTheme="minorHAnsi" w:cstheme="minorHAnsi"/>
          <w:kern w:val="1"/>
          <w:sz w:val="24"/>
          <w:szCs w:val="24"/>
          <w:lang w:eastAsia="zh-CN"/>
        </w:rPr>
        <w:t>30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="001A2EB1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1A2EB1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9F0D154" w14:textId="01738C97" w:rsidR="00B9716A" w:rsidRPr="00B419E9" w:rsidRDefault="00F80BD6" w:rsidP="00B419E9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557C7E95" w14:textId="039BF123" w:rsidR="00F80BD6" w:rsidRPr="001872D5" w:rsidRDefault="00B9716A" w:rsidP="001872D5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do siedziby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około 160 m</w:t>
      </w:r>
      <w:r w:rsidR="00D54AA9" w:rsidRPr="00D54AA9">
        <w:rPr>
          <w:rFonts w:asciiTheme="minorHAnsi" w:hAnsiTheme="minorHAnsi" w:cstheme="minorHAnsi"/>
          <w:b/>
          <w:kern w:val="1"/>
          <w:sz w:val="24"/>
          <w:szCs w:val="24"/>
          <w:vertAlign w:val="superscript"/>
          <w:lang w:eastAsia="zh-CN"/>
        </w:rPr>
        <w:t xml:space="preserve">2 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płyty trud</w:t>
      </w:r>
      <w:r w:rsidR="0095578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opalnej typu OSB </w:t>
      </w:r>
      <w:proofErr w:type="spellStart"/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Firestop</w:t>
      </w:r>
      <w:proofErr w:type="spellEnd"/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1872D5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42003B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 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 xml:space="preserve">(rodzaj zamówienia: </w:t>
      </w:r>
      <w:r w:rsidRPr="0042003B">
        <w:rPr>
          <w:rFonts w:asciiTheme="minorHAnsi" w:hAnsiTheme="minorHAnsi" w:cstheme="minorHAnsi"/>
          <w:b/>
          <w:bCs/>
          <w:i/>
          <w:kern w:val="1"/>
          <w:sz w:val="24"/>
          <w:szCs w:val="24"/>
          <w:lang w:eastAsia="zh-CN"/>
        </w:rPr>
        <w:t>dostawa</w:t>
      </w:r>
      <w:r w:rsidR="00F80BD6" w:rsidRPr="0042003B">
        <w:rPr>
          <w:rFonts w:asciiTheme="minorHAnsi" w:hAnsiTheme="minorHAnsi" w:cstheme="minorHAnsi"/>
          <w:i/>
          <w:kern w:val="1"/>
          <w:sz w:val="24"/>
          <w:szCs w:val="24"/>
          <w:lang w:eastAsia="zh-CN"/>
        </w:rPr>
        <w:t>)</w:t>
      </w:r>
      <w:bookmarkStart w:id="0" w:name="_GoBack"/>
      <w:bookmarkEnd w:id="0"/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3884E452" w14:textId="282EB581" w:rsidR="00D170E0" w:rsidRPr="00D54AA9" w:rsidRDefault="001872D5" w:rsidP="00D54AA9">
      <w:pPr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Przedmiotem zamówienia </w:t>
      </w:r>
      <w:r w:rsidR="00194332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jest dostawa </w:t>
      </w:r>
      <w:r w:rsidR="00D54AA9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trudnopalnej płyty typu </w:t>
      </w:r>
      <w:proofErr w:type="spellStart"/>
      <w:r w:rsidR="00D54AA9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FireStop</w:t>
      </w:r>
      <w:proofErr w:type="spellEnd"/>
      <w:r w:rsidR="00D54AA9" w:rsidRPr="00D54AA9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na bazie płyty OSB-3, jednostronnie pokrytej warstwą magnezową wzmocnioną siatką z włókna szklanego.</w:t>
      </w:r>
      <w:r w:rsidR="00D54AA9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</w:t>
      </w:r>
      <w:r w:rsidR="00D54AA9" w:rsidRPr="00D54AA9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Zgodnie z obowiązującą normą europejską </w:t>
      </w:r>
      <w:r w:rsidR="00D54AA9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płyta ma posiadać</w:t>
      </w:r>
      <w:r w:rsidR="00D54AA9" w:rsidRPr="00D54AA9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klasę reakcji na ogień B-s1, d0.</w:t>
      </w:r>
    </w:p>
    <w:p w14:paraId="04EB8FB8" w14:textId="3503C67E" w:rsidR="00F80BD6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6CE2B107" w14:textId="77777777" w:rsidR="00194332" w:rsidRPr="00194332" w:rsidRDefault="00194332" w:rsidP="00194332">
      <w:pPr>
        <w:pStyle w:val="Akapitzlist"/>
        <w:widowControl w:val="0"/>
        <w:tabs>
          <w:tab w:val="left" w:pos="314"/>
        </w:tabs>
        <w:suppressAutoHyphens/>
        <w:spacing w:after="0" w:line="240" w:lineRule="auto"/>
        <w:ind w:left="380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78548A3B" w14:textId="7ADD4F50" w:rsidR="00F80BD6" w:rsidRPr="00CC5E8A" w:rsidRDefault="00194332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14</w:t>
      </w:r>
      <w:r w:rsidR="0042003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dni roboczych od złożenia zamówienia </w:t>
      </w:r>
    </w:p>
    <w:p w14:paraId="5E47FA89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1A91BB6A" w14:textId="21BC07C5" w:rsidR="00F80BD6" w:rsidRPr="00CC5E8A" w:rsidRDefault="0042003B" w:rsidP="00D54AA9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5901E5AD" w14:textId="77777777" w:rsidR="00D703F4" w:rsidRPr="00CC5E8A" w:rsidRDefault="00D703F4" w:rsidP="00D703F4">
      <w:pPr>
        <w:pStyle w:val="Akapitzlist"/>
        <w:suppressAutoHyphens/>
        <w:spacing w:after="120" w:line="240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55F7306B" w14:textId="1A12C26E" w:rsidR="00F80BD6" w:rsidRPr="00194332" w:rsidRDefault="00F80BD6" w:rsidP="00194332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194332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F48F8AB" w14:textId="00C5C79E" w:rsidR="00F80BD6" w:rsidRPr="00CC5E8A" w:rsidRDefault="00F377A2" w:rsidP="00194332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4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19433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20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roku</w:t>
      </w:r>
      <w:r w:rsidR="00D54AA9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do godziny 11.00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5EFAD7EA" w14:textId="583A2491" w:rsidR="00D703F4" w:rsidRPr="00CC5E8A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999B27B" w14:textId="393D6E47" w:rsidR="00D703F4" w:rsidRDefault="00D703F4" w:rsidP="0019433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lastRenderedPageBreak/>
        <w:t>Wskazanie osób uprawnionych do porozumiewania się z Wykonawcą</w:t>
      </w:r>
    </w:p>
    <w:p w14:paraId="2E5E5B78" w14:textId="719FB787" w:rsidR="00726F86" w:rsidRDefault="00EE1CB0" w:rsidP="00EE1CB0">
      <w:pPr>
        <w:tabs>
          <w:tab w:val="left" w:pos="6096"/>
        </w:tabs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7979D1FB" w14:textId="61E0860C" w:rsidR="00CC5E8A" w:rsidRPr="00EE1CB0" w:rsidRDefault="00D54AA9" w:rsidP="00EE1CB0">
      <w:pPr>
        <w:tabs>
          <w:tab w:val="left" w:pos="6096"/>
        </w:tabs>
      </w:pPr>
      <w:r>
        <w:t>Mirosław Kacprzak</w:t>
      </w:r>
      <w:r w:rsidR="00194332">
        <w:t xml:space="preserve"> (48-22) 69 20 </w:t>
      </w:r>
      <w:r>
        <w:t>209</w:t>
      </w:r>
      <w:r w:rsidR="00194332">
        <w:br/>
      </w:r>
      <w:r>
        <w:t>Andrzej Sobczak</w:t>
      </w:r>
      <w:r w:rsidR="00194332">
        <w:t xml:space="preserve"> (48-22) 69 20 </w:t>
      </w:r>
      <w:r>
        <w:t>204</w:t>
      </w:r>
      <w:r w:rsidR="0042003B">
        <w:br/>
      </w:r>
      <w:r w:rsidR="00EE1CB0">
        <w:t>Tomasz Tadrała (48-22) 69 20</w:t>
      </w:r>
      <w:r w:rsidR="00726F86">
        <w:t> </w:t>
      </w:r>
      <w:r w:rsidR="002549BB">
        <w:t>510</w:t>
      </w:r>
    </w:p>
    <w:p w14:paraId="0EC7A9A3" w14:textId="77777777" w:rsidR="00F80BD6" w:rsidRPr="00CC5E8A" w:rsidRDefault="00F80BD6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194332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40A9B319" w:rsidR="00F80BD6" w:rsidRPr="00CC5E8A" w:rsidRDefault="00194332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7E5C4F3C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788C23C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194332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0F9B8BC3" w:rsidR="00F80BD6" w:rsidRPr="00CC5E8A" w:rsidRDefault="00F80BD6" w:rsidP="00194332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2D922581" w14:textId="563566BB" w:rsidR="00F80BD6" w:rsidRDefault="00F80BD6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59B2FF88" w14:textId="00105AD0" w:rsidR="00194332" w:rsidRPr="000E4F6F" w:rsidRDefault="000E4F6F" w:rsidP="00194332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194332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1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1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9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52ABFF14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 Zaproszenia z dnia </w:t>
      </w:r>
      <w:r w:rsidR="00D54AA9">
        <w:rPr>
          <w:rFonts w:asciiTheme="minorHAnsi" w:hAnsiTheme="minorHAnsi" w:cstheme="minorHAnsi"/>
          <w:kern w:val="1"/>
          <w:sz w:val="24"/>
          <w:szCs w:val="24"/>
          <w:lang w:eastAsia="zh-CN"/>
        </w:rPr>
        <w:t>30</w:t>
      </w:r>
      <w:r w:rsid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.1</w:t>
      </w:r>
      <w:r w:rsidR="00D54AA9">
        <w:rPr>
          <w:rFonts w:asciiTheme="minorHAnsi" w:hAnsiTheme="minorHAnsi" w:cstheme="minorHAnsi"/>
          <w:kern w:val="1"/>
          <w:sz w:val="24"/>
          <w:szCs w:val="24"/>
          <w:lang w:eastAsia="zh-CN"/>
        </w:rPr>
        <w:t>2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</w:t>
      </w:r>
      <w:r w:rsidR="0001778E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  <w:bookmarkStart w:id="2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7647B5F0" w14:textId="6017E28F" w:rsidR="00194332" w:rsidRDefault="00B419E9" w:rsidP="00D54AA9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b/>
          <w:sz w:val="24"/>
          <w:szCs w:val="24"/>
        </w:rPr>
        <w:t xml:space="preserve">Dostawie </w:t>
      </w:r>
      <w:r w:rsidR="00074C0F">
        <w:rPr>
          <w:rFonts w:asciiTheme="minorHAnsi" w:hAnsiTheme="minorHAnsi" w:cstheme="minorHAnsi"/>
          <w:b/>
          <w:sz w:val="24"/>
          <w:szCs w:val="24"/>
        </w:rPr>
        <w:t>około 160 m</w:t>
      </w:r>
      <w:r w:rsidR="00074C0F" w:rsidRPr="00074C0F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="00074C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4AA9">
        <w:rPr>
          <w:rFonts w:asciiTheme="minorHAnsi" w:hAnsiTheme="minorHAnsi" w:cstheme="minorHAnsi"/>
          <w:b/>
          <w:sz w:val="24"/>
          <w:szCs w:val="24"/>
        </w:rPr>
        <w:t xml:space="preserve">płyt trudnopalnych typu </w:t>
      </w:r>
      <w:proofErr w:type="spellStart"/>
      <w:r w:rsidR="00D54AA9">
        <w:rPr>
          <w:rFonts w:asciiTheme="minorHAnsi" w:hAnsiTheme="minorHAnsi" w:cstheme="minorHAnsi"/>
          <w:b/>
          <w:sz w:val="24"/>
          <w:szCs w:val="24"/>
        </w:rPr>
        <w:t>FireStop</w:t>
      </w:r>
      <w:proofErr w:type="spellEnd"/>
    </w:p>
    <w:p w14:paraId="1A7AC648" w14:textId="77777777" w:rsidR="00194332" w:rsidRDefault="00194332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43369DDC" w14:textId="381BB851" w:rsidR="00F80BD6" w:rsidRPr="00194332" w:rsidRDefault="00F80BD6" w:rsidP="0019433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94332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77777777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Kalkulacja cenowa Wykonawcy za realizację całości przedmiotu zamówienia:</w:t>
      </w:r>
    </w:p>
    <w:p w14:paraId="2ABC0CA0" w14:textId="75933F99" w:rsidR="00F80BD6" w:rsidRPr="00B419E9" w:rsidRDefault="00F80BD6" w:rsidP="00B419E9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>zadania</w:t>
      </w:r>
      <w:r w:rsidR="00514956" w:rsidRP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B419E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będącego przedmiotem zamówienia 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</w:t>
      </w:r>
      <w:r w:rsidR="00B419E9">
        <w:rPr>
          <w:rFonts w:asciiTheme="minorHAnsi" w:hAnsiTheme="minorHAnsi" w:cstheme="minorHAnsi"/>
          <w:sz w:val="24"/>
          <w:szCs w:val="24"/>
        </w:rPr>
        <w:t>za łączną cenę</w:t>
      </w:r>
      <w:r w:rsidR="00514956" w:rsidRPr="00B419E9">
        <w:rPr>
          <w:rFonts w:asciiTheme="minorHAnsi" w:hAnsiTheme="minorHAnsi" w:cstheme="minorHAnsi"/>
          <w:sz w:val="24"/>
          <w:szCs w:val="24"/>
        </w:rPr>
        <w:t xml:space="preserve"> netto ...................... zł</w:t>
      </w:r>
      <w:r w:rsidR="00D54AA9">
        <w:rPr>
          <w:rFonts w:asciiTheme="minorHAnsi" w:hAnsiTheme="minorHAnsi" w:cstheme="minorHAnsi"/>
          <w:sz w:val="24"/>
          <w:szCs w:val="24"/>
        </w:rPr>
        <w:t>/m</w:t>
      </w:r>
      <w:r w:rsidR="00D54AA9" w:rsidRPr="00D54AA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514956" w:rsidRPr="00B419E9">
        <w:rPr>
          <w:rFonts w:asciiTheme="minorHAnsi" w:hAnsiTheme="minorHAnsi" w:cstheme="minorHAnsi"/>
          <w:sz w:val="24"/>
          <w:szCs w:val="24"/>
        </w:rPr>
        <w:t>, plus należny podatek VAT w wysokości ..........% tj. za cenę brutto: ....................................... zł.</w:t>
      </w:r>
    </w:p>
    <w:p w14:paraId="457167E3" w14:textId="3667F3AA" w:rsidR="00F80BD6" w:rsidRPr="00CC5E8A" w:rsidRDefault="00B419E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</w:t>
      </w:r>
      <w:r w:rsidR="00D54AA9">
        <w:rPr>
          <w:rFonts w:asciiTheme="minorHAnsi" w:hAnsiTheme="minorHAnsi" w:cstheme="minorHAnsi"/>
          <w:kern w:val="1"/>
          <w:sz w:val="24"/>
          <w:szCs w:val="24"/>
          <w:lang w:eastAsia="zh-CN"/>
        </w:rPr>
        <w:t>terminie do dnia 21 grudnia 2020 r.</w:t>
      </w:r>
    </w:p>
    <w:p w14:paraId="059E643D" w14:textId="4CFB9CEB" w:rsidR="00F80BD6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BBFCD3E" w14:textId="0713E284" w:rsidR="00D54AA9" w:rsidRPr="00CC5E8A" w:rsidRDefault="00D54AA9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W kalkulacji cenowej uwzględnione są koszty transportu do siedziby Zamawiającego.</w:t>
      </w:r>
    </w:p>
    <w:p w14:paraId="1DFF29FA" w14:textId="60FA167D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53D9BDD" w14:textId="2712CA26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E1CE54" w14:textId="6FB531AC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53F866D" w14:textId="583A46A9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F1F23EA" w14:textId="78B1B1F4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04D7B3" w14:textId="77777777" w:rsidR="000E4F6F" w:rsidRDefault="000E4F6F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6EFB27" w14:textId="77777777" w:rsidR="00B419E9" w:rsidRDefault="00B419E9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9B97249" w14:textId="77777777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47"/>
        <w:gridCol w:w="4389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2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10"/>
      <w:footerReference w:type="default" r:id="rId11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4D77A" w14:textId="77777777" w:rsidR="00052906" w:rsidRDefault="00052906">
      <w:pPr>
        <w:spacing w:after="0" w:line="240" w:lineRule="auto"/>
      </w:pPr>
      <w:r>
        <w:separator/>
      </w:r>
    </w:p>
  </w:endnote>
  <w:endnote w:type="continuationSeparator" w:id="0">
    <w:p w14:paraId="01847485" w14:textId="77777777" w:rsidR="00052906" w:rsidRDefault="0005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1872D5" w:rsidRPr="00A24074" w:rsidRDefault="001872D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="00955789">
          <w:rPr>
            <w:rFonts w:ascii="Arial" w:hAnsi="Arial" w:cs="Arial"/>
            <w:noProof/>
            <w:sz w:val="16"/>
            <w:szCs w:val="16"/>
          </w:rPr>
          <w:t>1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1872D5" w:rsidRDefault="001872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E3DC7" w14:textId="77777777" w:rsidR="00052906" w:rsidRDefault="00052906">
      <w:pPr>
        <w:spacing w:after="0" w:line="240" w:lineRule="auto"/>
      </w:pPr>
      <w:r>
        <w:separator/>
      </w:r>
    </w:p>
  </w:footnote>
  <w:footnote w:type="continuationSeparator" w:id="0">
    <w:p w14:paraId="45E45C8E" w14:textId="77777777" w:rsidR="00052906" w:rsidRDefault="0005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258A" w14:textId="77777777" w:rsidR="001872D5" w:rsidRDefault="001872D5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5679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6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6">
    <w:nsid w:val="57C44269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>
    <w:nsid w:val="6A120468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9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8"/>
  </w:num>
  <w:num w:numId="7">
    <w:abstractNumId w:val="15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3"/>
  </w:num>
  <w:num w:numId="12">
    <w:abstractNumId w:val="17"/>
  </w:num>
  <w:num w:numId="13">
    <w:abstractNumId w:val="36"/>
  </w:num>
  <w:num w:numId="14">
    <w:abstractNumId w:val="25"/>
  </w:num>
  <w:num w:numId="15">
    <w:abstractNumId w:val="32"/>
  </w:num>
  <w:num w:numId="16">
    <w:abstractNumId w:val="12"/>
  </w:num>
  <w:num w:numId="17">
    <w:abstractNumId w:val="7"/>
  </w:num>
  <w:num w:numId="18">
    <w:abstractNumId w:val="20"/>
  </w:num>
  <w:num w:numId="19">
    <w:abstractNumId w:val="5"/>
  </w:num>
  <w:num w:numId="20">
    <w:abstractNumId w:val="24"/>
  </w:num>
  <w:num w:numId="21">
    <w:abstractNumId w:val="22"/>
  </w:num>
  <w:num w:numId="22">
    <w:abstractNumId w:val="19"/>
  </w:num>
  <w:num w:numId="23">
    <w:abstractNumId w:val="3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33"/>
  </w:num>
  <w:num w:numId="28">
    <w:abstractNumId w:val="30"/>
  </w:num>
  <w:num w:numId="29">
    <w:abstractNumId w:val="13"/>
  </w:num>
  <w:num w:numId="30">
    <w:abstractNumId w:val="29"/>
  </w:num>
  <w:num w:numId="31">
    <w:abstractNumId w:val="18"/>
  </w:num>
  <w:num w:numId="32">
    <w:abstractNumId w:val="31"/>
  </w:num>
  <w:num w:numId="33">
    <w:abstractNumId w:val="14"/>
  </w:num>
  <w:num w:numId="34">
    <w:abstractNumId w:val="39"/>
  </w:num>
  <w:num w:numId="35">
    <w:abstractNumId w:val="27"/>
  </w:num>
  <w:num w:numId="36">
    <w:abstractNumId w:val="9"/>
  </w:num>
  <w:num w:numId="37">
    <w:abstractNumId w:val="16"/>
  </w:num>
  <w:num w:numId="38">
    <w:abstractNumId w:val="37"/>
  </w:num>
  <w:num w:numId="39">
    <w:abstractNumId w:val="10"/>
  </w:num>
  <w:num w:numId="40">
    <w:abstractNumId w:val="26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1C"/>
    <w:rsid w:val="00004156"/>
    <w:rsid w:val="000152DC"/>
    <w:rsid w:val="0001778E"/>
    <w:rsid w:val="00052906"/>
    <w:rsid w:val="00074C0F"/>
    <w:rsid w:val="0008462B"/>
    <w:rsid w:val="000A04FF"/>
    <w:rsid w:val="000A1F3D"/>
    <w:rsid w:val="000A4B33"/>
    <w:rsid w:val="000B14EE"/>
    <w:rsid w:val="000C0866"/>
    <w:rsid w:val="000E4F6F"/>
    <w:rsid w:val="000F64BD"/>
    <w:rsid w:val="00131F58"/>
    <w:rsid w:val="001810AC"/>
    <w:rsid w:val="00185992"/>
    <w:rsid w:val="001872D5"/>
    <w:rsid w:val="001903CB"/>
    <w:rsid w:val="00194332"/>
    <w:rsid w:val="001A2EB1"/>
    <w:rsid w:val="001A33B0"/>
    <w:rsid w:val="001C5189"/>
    <w:rsid w:val="001F3459"/>
    <w:rsid w:val="001F75A8"/>
    <w:rsid w:val="00213874"/>
    <w:rsid w:val="00215A96"/>
    <w:rsid w:val="0022145C"/>
    <w:rsid w:val="00224264"/>
    <w:rsid w:val="00226EF4"/>
    <w:rsid w:val="00230ACD"/>
    <w:rsid w:val="00252DBD"/>
    <w:rsid w:val="002538B5"/>
    <w:rsid w:val="002549BB"/>
    <w:rsid w:val="00255EFB"/>
    <w:rsid w:val="0027550E"/>
    <w:rsid w:val="0028149B"/>
    <w:rsid w:val="0031197B"/>
    <w:rsid w:val="00317942"/>
    <w:rsid w:val="00333E4C"/>
    <w:rsid w:val="0036290E"/>
    <w:rsid w:val="003E7C73"/>
    <w:rsid w:val="00411213"/>
    <w:rsid w:val="0042003B"/>
    <w:rsid w:val="004374B4"/>
    <w:rsid w:val="00446DC4"/>
    <w:rsid w:val="004B438F"/>
    <w:rsid w:val="004C017C"/>
    <w:rsid w:val="0050603A"/>
    <w:rsid w:val="00507FC8"/>
    <w:rsid w:val="0051231D"/>
    <w:rsid w:val="00514956"/>
    <w:rsid w:val="005309F5"/>
    <w:rsid w:val="00595AB5"/>
    <w:rsid w:val="005C1C15"/>
    <w:rsid w:val="005E0E74"/>
    <w:rsid w:val="005E28E5"/>
    <w:rsid w:val="006173A3"/>
    <w:rsid w:val="0063711B"/>
    <w:rsid w:val="00647BC1"/>
    <w:rsid w:val="00661957"/>
    <w:rsid w:val="00691B78"/>
    <w:rsid w:val="006A047C"/>
    <w:rsid w:val="006A1955"/>
    <w:rsid w:val="006D58A5"/>
    <w:rsid w:val="006E2DD2"/>
    <w:rsid w:val="007170D0"/>
    <w:rsid w:val="007229B4"/>
    <w:rsid w:val="00726F86"/>
    <w:rsid w:val="0075130D"/>
    <w:rsid w:val="00760258"/>
    <w:rsid w:val="007607F2"/>
    <w:rsid w:val="00764537"/>
    <w:rsid w:val="0076770F"/>
    <w:rsid w:val="00771184"/>
    <w:rsid w:val="00797851"/>
    <w:rsid w:val="007E3102"/>
    <w:rsid w:val="007E7A95"/>
    <w:rsid w:val="00817613"/>
    <w:rsid w:val="008301D1"/>
    <w:rsid w:val="00833808"/>
    <w:rsid w:val="00834556"/>
    <w:rsid w:val="008464E5"/>
    <w:rsid w:val="008B0624"/>
    <w:rsid w:val="008B6C05"/>
    <w:rsid w:val="008E768D"/>
    <w:rsid w:val="00915B41"/>
    <w:rsid w:val="009452E3"/>
    <w:rsid w:val="00955789"/>
    <w:rsid w:val="00976A13"/>
    <w:rsid w:val="00981AAE"/>
    <w:rsid w:val="00982BC1"/>
    <w:rsid w:val="009A46FD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419E9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527D2"/>
    <w:rsid w:val="00C66AED"/>
    <w:rsid w:val="00C97EEE"/>
    <w:rsid w:val="00CC5E8A"/>
    <w:rsid w:val="00CD0BFC"/>
    <w:rsid w:val="00CD58F3"/>
    <w:rsid w:val="00D170E0"/>
    <w:rsid w:val="00D17DD2"/>
    <w:rsid w:val="00D54AA9"/>
    <w:rsid w:val="00D57955"/>
    <w:rsid w:val="00D703F4"/>
    <w:rsid w:val="00D83381"/>
    <w:rsid w:val="00DB009E"/>
    <w:rsid w:val="00DC37B8"/>
    <w:rsid w:val="00DD62CE"/>
    <w:rsid w:val="00DE2763"/>
    <w:rsid w:val="00E0297E"/>
    <w:rsid w:val="00E31B57"/>
    <w:rsid w:val="00E67D91"/>
    <w:rsid w:val="00E73D34"/>
    <w:rsid w:val="00E74B16"/>
    <w:rsid w:val="00E76890"/>
    <w:rsid w:val="00EB5486"/>
    <w:rsid w:val="00EC6C0E"/>
    <w:rsid w:val="00EC7451"/>
    <w:rsid w:val="00EE1CB0"/>
    <w:rsid w:val="00F04CA1"/>
    <w:rsid w:val="00F11261"/>
    <w:rsid w:val="00F33857"/>
    <w:rsid w:val="00F3425B"/>
    <w:rsid w:val="00F377A2"/>
    <w:rsid w:val="00F628DC"/>
    <w:rsid w:val="00F80BD6"/>
    <w:rsid w:val="00FA7773"/>
    <w:rsid w:val="00FE28B0"/>
    <w:rsid w:val="00FF40BD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70000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mw</cp:lastModifiedBy>
  <cp:revision>3</cp:revision>
  <cp:lastPrinted>2018-09-12T11:36:00Z</cp:lastPrinted>
  <dcterms:created xsi:type="dcterms:W3CDTF">2020-11-30T14:39:00Z</dcterms:created>
  <dcterms:modified xsi:type="dcterms:W3CDTF">2020-11-30T15:50:00Z</dcterms:modified>
</cp:coreProperties>
</file>